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F69" w:rsidRDefault="00DC396B" w:rsidP="009761B6">
      <w:pPr>
        <w:pStyle w:val="Heading2"/>
        <w:tabs>
          <w:tab w:val="left" w:pos="2600"/>
        </w:tabs>
        <w:ind w:left="0"/>
        <w:rPr>
          <w:rFonts w:asciiTheme="majorBidi" w:hAnsiTheme="majorBidi" w:cstheme="majorBidi"/>
          <w:sz w:val="22"/>
          <w:szCs w:val="22"/>
        </w:rPr>
      </w:pPr>
      <w:r w:rsidRPr="0028188F">
        <w:rPr>
          <w:rFonts w:asciiTheme="majorBidi" w:hAnsiTheme="majorBidi"/>
          <w:noProof/>
          <w:lang w:val="en-GB" w:eastAsia="en-GB"/>
        </w:rPr>
        <w:drawing>
          <wp:anchor distT="0" distB="0" distL="114300" distR="114300" simplePos="0" relativeHeight="251659264" behindDoc="1" locked="0" layoutInCell="1" allowOverlap="1">
            <wp:simplePos x="0" y="0"/>
            <wp:positionH relativeFrom="column">
              <wp:posOffset>2457450</wp:posOffset>
            </wp:positionH>
            <wp:positionV relativeFrom="paragraph">
              <wp:posOffset>-172720</wp:posOffset>
            </wp:positionV>
            <wp:extent cx="685800" cy="561975"/>
            <wp:effectExtent l="19050" t="0" r="0" b="0"/>
            <wp:wrapNone/>
            <wp:docPr id="2" name="Picture 2" descr="Mon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
                    <pic:cNvPicPr>
                      <a:picLocks noChangeAspect="1" noChangeArrowheads="1"/>
                    </pic:cNvPicPr>
                  </pic:nvPicPr>
                  <pic:blipFill>
                    <a:blip r:embed="rId5">
                      <a:lum bright="2000" contrast="56000"/>
                    </a:blip>
                    <a:srcRect/>
                    <a:stretch>
                      <a:fillRect/>
                    </a:stretch>
                  </pic:blipFill>
                  <pic:spPr bwMode="auto">
                    <a:xfrm>
                      <a:off x="0" y="0"/>
                      <a:ext cx="685800" cy="561975"/>
                    </a:xfrm>
                    <a:prstGeom prst="rect">
                      <a:avLst/>
                    </a:prstGeom>
                    <a:noFill/>
                  </pic:spPr>
                </pic:pic>
              </a:graphicData>
            </a:graphic>
          </wp:anchor>
        </w:drawing>
      </w:r>
    </w:p>
    <w:p w:rsidR="00040F69" w:rsidRPr="00DC396B" w:rsidRDefault="00040F69" w:rsidP="00DC396B">
      <w:pPr>
        <w:pStyle w:val="Heading1"/>
        <w:jc w:val="center"/>
        <w:rPr>
          <w:rFonts w:asciiTheme="majorBidi" w:hAnsiTheme="majorBidi"/>
          <w:b w:val="0"/>
          <w:bCs w:val="0"/>
          <w:color w:val="000000" w:themeColor="text1"/>
          <w:sz w:val="24"/>
          <w:szCs w:val="24"/>
        </w:rPr>
      </w:pPr>
      <w:r w:rsidRPr="00DC396B">
        <w:rPr>
          <w:rFonts w:asciiTheme="majorBidi" w:hAnsiTheme="majorBidi"/>
          <w:b w:val="0"/>
          <w:bCs w:val="0"/>
          <w:color w:val="000000" w:themeColor="text1"/>
          <w:sz w:val="24"/>
          <w:szCs w:val="24"/>
        </w:rPr>
        <w:t>SHAHEED BENAZIR BHUTTO UNIVERSITY SHERINGAL</w:t>
      </w:r>
    </w:p>
    <w:p w:rsidR="00040F69" w:rsidRPr="00DC396B" w:rsidRDefault="00040F69" w:rsidP="00DC396B">
      <w:pPr>
        <w:pStyle w:val="Heading1"/>
        <w:spacing w:before="0"/>
        <w:jc w:val="center"/>
        <w:rPr>
          <w:rFonts w:asciiTheme="majorBidi" w:hAnsiTheme="majorBidi"/>
          <w:b w:val="0"/>
          <w:bCs w:val="0"/>
          <w:color w:val="000000" w:themeColor="text1"/>
        </w:rPr>
      </w:pPr>
      <w:r w:rsidRPr="00DC396B">
        <w:rPr>
          <w:rFonts w:asciiTheme="majorBidi" w:hAnsiTheme="majorBidi"/>
          <w:color w:val="000000" w:themeColor="text1"/>
          <w:sz w:val="22"/>
          <w:szCs w:val="22"/>
        </w:rPr>
        <w:t>ISLAMIC PERSONAL</w:t>
      </w:r>
      <w:r w:rsidRPr="00DC396B">
        <w:rPr>
          <w:rFonts w:asciiTheme="majorBidi" w:hAnsiTheme="majorBidi"/>
          <w:color w:val="000000" w:themeColor="text1"/>
          <w:spacing w:val="-1"/>
          <w:sz w:val="22"/>
          <w:szCs w:val="22"/>
        </w:rPr>
        <w:t xml:space="preserve"> </w:t>
      </w:r>
      <w:r w:rsidRPr="00DC396B">
        <w:rPr>
          <w:rFonts w:asciiTheme="majorBidi" w:hAnsiTheme="majorBidi"/>
          <w:color w:val="000000" w:themeColor="text1"/>
          <w:sz w:val="22"/>
          <w:szCs w:val="22"/>
        </w:rPr>
        <w:t>LAW</w:t>
      </w:r>
    </w:p>
    <w:p w:rsidR="00040F69" w:rsidRPr="0028188F" w:rsidRDefault="00DC396B" w:rsidP="00DC396B">
      <w:pPr>
        <w:spacing w:after="0"/>
        <w:ind w:left="360"/>
        <w:jc w:val="center"/>
        <w:rPr>
          <w:rFonts w:asciiTheme="majorBidi" w:hAnsiTheme="majorBidi" w:cstheme="majorBidi"/>
          <w:b/>
          <w:bCs/>
        </w:rPr>
      </w:pPr>
      <w:r w:rsidRPr="00DC396B">
        <w:rPr>
          <w:rFonts w:asciiTheme="majorBidi" w:hAnsiTheme="majorBidi" w:cstheme="majorBidi"/>
          <w:b/>
          <w:bCs/>
          <w:color w:val="000000" w:themeColor="text1"/>
        </w:rPr>
        <w:t>General Course for (BS 4</w:t>
      </w:r>
      <w:r>
        <w:rPr>
          <w:rFonts w:asciiTheme="majorBidi" w:hAnsiTheme="majorBidi" w:cstheme="majorBidi"/>
          <w:b/>
          <w:bCs/>
        </w:rPr>
        <w:t xml:space="preserve"> years)</w:t>
      </w:r>
    </w:p>
    <w:p w:rsidR="007C2195" w:rsidRPr="00791022" w:rsidRDefault="00040F69" w:rsidP="00DC396B">
      <w:pPr>
        <w:spacing w:after="0"/>
        <w:ind w:left="360"/>
        <w:jc w:val="center"/>
        <w:rPr>
          <w:rFonts w:asciiTheme="majorBidi" w:hAnsiTheme="majorBidi" w:cstheme="majorBidi"/>
        </w:rPr>
      </w:pPr>
      <w:r w:rsidRPr="0028188F">
        <w:rPr>
          <w:rFonts w:asciiTheme="majorBidi" w:hAnsiTheme="majorBidi" w:cstheme="majorBidi"/>
          <w:b/>
          <w:bCs/>
        </w:rPr>
        <w:t>Credit Hours :( 3</w:t>
      </w:r>
      <w:r w:rsidR="00DC396B">
        <w:rPr>
          <w:rFonts w:asciiTheme="majorBidi" w:hAnsiTheme="majorBidi" w:cstheme="majorBidi"/>
          <w:b/>
          <w:bCs/>
        </w:rPr>
        <w:t>-0</w:t>
      </w:r>
      <w:r w:rsidRPr="0028188F">
        <w:rPr>
          <w:rFonts w:asciiTheme="majorBidi" w:hAnsiTheme="majorBidi" w:cstheme="majorBidi"/>
          <w:b/>
          <w:bCs/>
        </w:rPr>
        <w:t>)</w:t>
      </w:r>
    </w:p>
    <w:p w:rsidR="007C2195" w:rsidRPr="00791022" w:rsidRDefault="007C2195" w:rsidP="001269DC">
      <w:pPr>
        <w:pStyle w:val="BodyText"/>
        <w:rPr>
          <w:rFonts w:asciiTheme="majorBidi" w:hAnsiTheme="majorBidi" w:cstheme="majorBidi"/>
          <w:b/>
          <w:sz w:val="22"/>
          <w:szCs w:val="22"/>
        </w:rPr>
      </w:pPr>
    </w:p>
    <w:p w:rsidR="007C2195" w:rsidRPr="00791022" w:rsidRDefault="007C2195" w:rsidP="001269DC">
      <w:pPr>
        <w:pStyle w:val="BodyText"/>
        <w:ind w:left="1160" w:right="1162"/>
        <w:jc w:val="both"/>
        <w:rPr>
          <w:rFonts w:asciiTheme="majorBidi" w:hAnsiTheme="majorBidi" w:cstheme="majorBidi"/>
          <w:sz w:val="22"/>
          <w:szCs w:val="22"/>
        </w:rPr>
      </w:pPr>
      <w:r w:rsidRPr="00791022">
        <w:rPr>
          <w:rFonts w:asciiTheme="majorBidi" w:hAnsiTheme="majorBidi" w:cstheme="majorBidi"/>
          <w:sz w:val="22"/>
          <w:szCs w:val="22"/>
        </w:rPr>
        <w:t>The course will focus on Muslim Personal laws of Pakistan. The course is divided in to two modules; in this module both th</w:t>
      </w:r>
      <w:bookmarkStart w:id="0" w:name="_GoBack"/>
      <w:bookmarkEnd w:id="0"/>
      <w:r w:rsidRPr="00791022">
        <w:rPr>
          <w:rFonts w:asciiTheme="majorBidi" w:hAnsiTheme="majorBidi" w:cstheme="majorBidi"/>
          <w:sz w:val="22"/>
          <w:szCs w:val="22"/>
        </w:rPr>
        <w:t>e classical and codified Islamic personal laws dealing with marriages, divorce, maintenance, custody of children and parentage will be discussed. The course will also include contemporary Islamic personal laws as applied in selected Muslim</w:t>
      </w:r>
      <w:r w:rsidRPr="00791022">
        <w:rPr>
          <w:rFonts w:asciiTheme="majorBidi" w:hAnsiTheme="majorBidi" w:cstheme="majorBidi"/>
          <w:spacing w:val="4"/>
          <w:sz w:val="22"/>
          <w:szCs w:val="22"/>
        </w:rPr>
        <w:t xml:space="preserve"> </w:t>
      </w:r>
      <w:r w:rsidRPr="00791022">
        <w:rPr>
          <w:rFonts w:asciiTheme="majorBidi" w:hAnsiTheme="majorBidi" w:cstheme="majorBidi"/>
          <w:sz w:val="22"/>
          <w:szCs w:val="22"/>
        </w:rPr>
        <w:t>states.</w:t>
      </w:r>
    </w:p>
    <w:p w:rsidR="00791022" w:rsidRPr="00791022" w:rsidRDefault="00791022" w:rsidP="001269DC">
      <w:pPr>
        <w:pStyle w:val="BodyText"/>
        <w:ind w:left="1160" w:right="1162"/>
        <w:jc w:val="both"/>
        <w:rPr>
          <w:rFonts w:asciiTheme="majorBidi" w:hAnsiTheme="majorBidi" w:cstheme="majorBidi"/>
          <w:sz w:val="22"/>
          <w:szCs w:val="22"/>
        </w:rPr>
      </w:pPr>
    </w:p>
    <w:p w:rsidR="00791022" w:rsidRPr="00791022" w:rsidRDefault="00791022" w:rsidP="00791022">
      <w:pPr>
        <w:rPr>
          <w:rFonts w:asciiTheme="majorBidi" w:hAnsiTheme="majorBidi" w:cstheme="majorBidi"/>
          <w:b/>
          <w:bCs/>
        </w:rPr>
      </w:pPr>
      <w:r w:rsidRPr="00791022">
        <w:rPr>
          <w:rFonts w:asciiTheme="majorBidi" w:hAnsiTheme="majorBidi" w:cstheme="majorBidi"/>
          <w:b/>
          <w:bCs/>
        </w:rPr>
        <w:t>Topics Detail:</w:t>
      </w:r>
    </w:p>
    <w:p w:rsidR="00791022" w:rsidRPr="00791022" w:rsidRDefault="00791022" w:rsidP="00791022">
      <w:pPr>
        <w:numPr>
          <w:ilvl w:val="0"/>
          <w:numId w:val="5"/>
        </w:numPr>
        <w:spacing w:after="0" w:line="240" w:lineRule="auto"/>
        <w:jc w:val="both"/>
        <w:rPr>
          <w:rFonts w:asciiTheme="majorBidi" w:hAnsiTheme="majorBidi" w:cstheme="majorBidi"/>
          <w:color w:val="000000"/>
        </w:rPr>
      </w:pPr>
      <w:r w:rsidRPr="00791022">
        <w:rPr>
          <w:rFonts w:asciiTheme="majorBidi" w:hAnsiTheme="majorBidi" w:cstheme="majorBidi"/>
          <w:color w:val="000000"/>
        </w:rPr>
        <w:t xml:space="preserve">Introduction of Muslim Law, who is a Muslim. Conversion of Islam and </w:t>
      </w:r>
      <w:r w:rsidR="009A2D0D" w:rsidRPr="00791022">
        <w:rPr>
          <w:rFonts w:asciiTheme="majorBidi" w:hAnsiTheme="majorBidi" w:cstheme="majorBidi"/>
          <w:color w:val="000000"/>
        </w:rPr>
        <w:t>marital</w:t>
      </w:r>
      <w:r w:rsidRPr="00791022">
        <w:rPr>
          <w:rFonts w:asciiTheme="majorBidi" w:hAnsiTheme="majorBidi" w:cstheme="majorBidi"/>
          <w:color w:val="000000"/>
        </w:rPr>
        <w:t xml:space="preserve"> status; Conversion to Islam and right of inheritance. Sects and sub-sects of Muslims, Sunnis and Shias and their sub-sects, Change of sect or sub-sect.</w:t>
      </w:r>
    </w:p>
    <w:p w:rsidR="00791022" w:rsidRDefault="00791022" w:rsidP="00791022">
      <w:pPr>
        <w:numPr>
          <w:ilvl w:val="0"/>
          <w:numId w:val="5"/>
        </w:numPr>
        <w:spacing w:after="0" w:line="240" w:lineRule="auto"/>
        <w:jc w:val="both"/>
        <w:rPr>
          <w:rFonts w:asciiTheme="majorBidi" w:hAnsiTheme="majorBidi" w:cstheme="majorBidi"/>
          <w:color w:val="000000"/>
        </w:rPr>
      </w:pPr>
      <w:r w:rsidRPr="00791022">
        <w:rPr>
          <w:rFonts w:asciiTheme="majorBidi" w:hAnsiTheme="majorBidi" w:cstheme="majorBidi"/>
          <w:color w:val="000000"/>
        </w:rPr>
        <w:t xml:space="preserve">Marriage. Definition and capacity of marriage. Essentials of marriage. Valid, irregular and void marriages. Number of wives, Plurality of husbands. Marriage with a woman undergoing </w:t>
      </w:r>
      <w:proofErr w:type="spellStart"/>
      <w:r w:rsidRPr="00791022">
        <w:rPr>
          <w:rFonts w:asciiTheme="majorBidi" w:hAnsiTheme="majorBidi" w:cstheme="majorBidi"/>
          <w:color w:val="000000"/>
        </w:rPr>
        <w:t>iddat</w:t>
      </w:r>
      <w:proofErr w:type="spellEnd"/>
      <w:r w:rsidRPr="00791022">
        <w:rPr>
          <w:rFonts w:asciiTheme="majorBidi" w:hAnsiTheme="majorBidi" w:cstheme="majorBidi"/>
          <w:color w:val="000000"/>
        </w:rPr>
        <w:t xml:space="preserve">. Marriage between Sunni &amp; </w:t>
      </w:r>
      <w:proofErr w:type="spellStart"/>
      <w:r w:rsidRPr="00791022">
        <w:rPr>
          <w:rFonts w:asciiTheme="majorBidi" w:hAnsiTheme="majorBidi" w:cstheme="majorBidi"/>
          <w:color w:val="000000"/>
        </w:rPr>
        <w:t>shai</w:t>
      </w:r>
      <w:proofErr w:type="spellEnd"/>
      <w:r w:rsidRPr="00791022">
        <w:rPr>
          <w:rFonts w:asciiTheme="majorBidi" w:hAnsiTheme="majorBidi" w:cstheme="majorBidi"/>
          <w:color w:val="000000"/>
        </w:rPr>
        <w:t xml:space="preserve">. Effect of difference of religion on marriage. Unlawful conjunction. Difference between void and irregular marriages. Effects of (a) Valid marriage (b) Void Marriage (c) irregular marriage (b) </w:t>
      </w:r>
      <w:proofErr w:type="spellStart"/>
      <w:r w:rsidRPr="00791022">
        <w:rPr>
          <w:rFonts w:asciiTheme="majorBidi" w:hAnsiTheme="majorBidi" w:cstheme="majorBidi"/>
          <w:color w:val="000000"/>
        </w:rPr>
        <w:t>Muta</w:t>
      </w:r>
      <w:proofErr w:type="spellEnd"/>
      <w:r w:rsidRPr="00791022">
        <w:rPr>
          <w:rFonts w:asciiTheme="majorBidi" w:hAnsiTheme="majorBidi" w:cstheme="majorBidi"/>
          <w:color w:val="000000"/>
        </w:rPr>
        <w:t xml:space="preserve"> Marriage, its incidents. Marriage of minors. Guardianship in marriage. Marriage brought about by (a) father or grand-father (b) other guardians.</w:t>
      </w:r>
    </w:p>
    <w:p w:rsidR="00791022" w:rsidRPr="00791022" w:rsidRDefault="00791022" w:rsidP="00791022">
      <w:pPr>
        <w:numPr>
          <w:ilvl w:val="0"/>
          <w:numId w:val="5"/>
        </w:numPr>
        <w:spacing w:after="0" w:line="240" w:lineRule="auto"/>
        <w:jc w:val="both"/>
        <w:rPr>
          <w:rFonts w:asciiTheme="majorBidi" w:hAnsiTheme="majorBidi" w:cstheme="majorBidi"/>
          <w:color w:val="000000"/>
        </w:rPr>
      </w:pPr>
      <w:r>
        <w:rPr>
          <w:rFonts w:asciiTheme="majorBidi" w:hAnsiTheme="majorBidi" w:cstheme="majorBidi"/>
        </w:rPr>
        <w:t>M</w:t>
      </w:r>
      <w:r w:rsidRPr="00791022">
        <w:rPr>
          <w:rFonts w:asciiTheme="majorBidi" w:hAnsiTheme="majorBidi" w:cstheme="majorBidi"/>
        </w:rPr>
        <w:t>aintenance, custody of children and parentage</w:t>
      </w:r>
    </w:p>
    <w:p w:rsidR="00791022" w:rsidRPr="00791022" w:rsidRDefault="00791022" w:rsidP="00791022">
      <w:pPr>
        <w:numPr>
          <w:ilvl w:val="0"/>
          <w:numId w:val="5"/>
        </w:numPr>
        <w:spacing w:after="0" w:line="240" w:lineRule="auto"/>
        <w:jc w:val="both"/>
        <w:rPr>
          <w:rFonts w:asciiTheme="majorBidi" w:hAnsiTheme="majorBidi" w:cstheme="majorBidi"/>
          <w:color w:val="000000"/>
        </w:rPr>
      </w:pPr>
      <w:r w:rsidRPr="00791022">
        <w:rPr>
          <w:rFonts w:asciiTheme="majorBidi" w:hAnsiTheme="majorBidi" w:cstheme="majorBidi"/>
          <w:color w:val="000000"/>
        </w:rPr>
        <w:t>Dower. Definition of Dower, Kinds of Dower (a) Specified (b) Proper Dower (c) Prompt dower and  Deferred dower</w:t>
      </w:r>
    </w:p>
    <w:p w:rsidR="00791022" w:rsidRPr="00791022" w:rsidRDefault="00791022" w:rsidP="00791022">
      <w:pPr>
        <w:numPr>
          <w:ilvl w:val="0"/>
          <w:numId w:val="5"/>
        </w:numPr>
        <w:spacing w:after="0" w:line="240" w:lineRule="auto"/>
        <w:jc w:val="both"/>
        <w:rPr>
          <w:rFonts w:asciiTheme="majorBidi" w:hAnsiTheme="majorBidi" w:cstheme="majorBidi"/>
          <w:color w:val="000000"/>
        </w:rPr>
      </w:pPr>
      <w:r w:rsidRPr="00791022">
        <w:rPr>
          <w:rFonts w:asciiTheme="majorBidi" w:hAnsiTheme="majorBidi" w:cstheme="majorBidi"/>
          <w:color w:val="000000"/>
        </w:rPr>
        <w:t xml:space="preserve">Divorce. Different forms of divorce by </w:t>
      </w:r>
      <w:proofErr w:type="spellStart"/>
      <w:r w:rsidRPr="00791022">
        <w:rPr>
          <w:rFonts w:asciiTheme="majorBidi" w:hAnsiTheme="majorBidi" w:cstheme="majorBidi"/>
          <w:color w:val="000000"/>
        </w:rPr>
        <w:t>Talaq</w:t>
      </w:r>
      <w:proofErr w:type="spellEnd"/>
      <w:r w:rsidRPr="00791022">
        <w:rPr>
          <w:rFonts w:asciiTheme="majorBidi" w:hAnsiTheme="majorBidi" w:cstheme="majorBidi"/>
          <w:color w:val="000000"/>
        </w:rPr>
        <w:t xml:space="preserve">. Oral </w:t>
      </w:r>
      <w:proofErr w:type="spellStart"/>
      <w:proofErr w:type="gramStart"/>
      <w:r w:rsidRPr="00791022">
        <w:rPr>
          <w:rFonts w:asciiTheme="majorBidi" w:hAnsiTheme="majorBidi" w:cstheme="majorBidi"/>
          <w:color w:val="000000"/>
        </w:rPr>
        <w:t>Talaq</w:t>
      </w:r>
      <w:proofErr w:type="spellEnd"/>
      <w:r w:rsidRPr="00791022">
        <w:rPr>
          <w:rFonts w:asciiTheme="majorBidi" w:hAnsiTheme="majorBidi" w:cstheme="majorBidi"/>
          <w:color w:val="000000"/>
        </w:rPr>
        <w:t xml:space="preserve">  and</w:t>
      </w:r>
      <w:proofErr w:type="gramEnd"/>
      <w:r w:rsidRPr="00791022">
        <w:rPr>
          <w:rFonts w:asciiTheme="majorBidi" w:hAnsiTheme="majorBidi" w:cstheme="majorBidi"/>
          <w:color w:val="000000"/>
        </w:rPr>
        <w:t xml:space="preserve"> </w:t>
      </w:r>
      <w:proofErr w:type="spellStart"/>
      <w:r w:rsidRPr="00791022">
        <w:rPr>
          <w:rFonts w:asciiTheme="majorBidi" w:hAnsiTheme="majorBidi" w:cstheme="majorBidi"/>
          <w:color w:val="000000"/>
        </w:rPr>
        <w:t>Talaq</w:t>
      </w:r>
      <w:proofErr w:type="spellEnd"/>
      <w:r w:rsidRPr="00791022">
        <w:rPr>
          <w:rFonts w:asciiTheme="majorBidi" w:hAnsiTheme="majorBidi" w:cstheme="majorBidi"/>
          <w:color w:val="000000"/>
        </w:rPr>
        <w:t xml:space="preserve"> in writing. Different modes of </w:t>
      </w:r>
      <w:proofErr w:type="spellStart"/>
      <w:r w:rsidRPr="00791022">
        <w:rPr>
          <w:rFonts w:asciiTheme="majorBidi" w:hAnsiTheme="majorBidi" w:cstheme="majorBidi"/>
          <w:color w:val="000000"/>
        </w:rPr>
        <w:t>Talaq</w:t>
      </w:r>
      <w:proofErr w:type="spellEnd"/>
      <w:r w:rsidRPr="00791022">
        <w:rPr>
          <w:rFonts w:asciiTheme="majorBidi" w:hAnsiTheme="majorBidi" w:cstheme="majorBidi"/>
          <w:color w:val="000000"/>
        </w:rPr>
        <w:t>. (</w:t>
      </w:r>
      <w:proofErr w:type="spellStart"/>
      <w:r w:rsidRPr="00791022">
        <w:rPr>
          <w:rFonts w:asciiTheme="majorBidi" w:hAnsiTheme="majorBidi" w:cstheme="majorBidi"/>
          <w:color w:val="000000"/>
        </w:rPr>
        <w:t>i</w:t>
      </w:r>
      <w:proofErr w:type="spellEnd"/>
      <w:r w:rsidRPr="00791022">
        <w:rPr>
          <w:rFonts w:asciiTheme="majorBidi" w:hAnsiTheme="majorBidi" w:cstheme="majorBidi"/>
          <w:color w:val="000000"/>
        </w:rPr>
        <w:t xml:space="preserve">) </w:t>
      </w:r>
      <w:proofErr w:type="spellStart"/>
      <w:r w:rsidRPr="00791022">
        <w:rPr>
          <w:rFonts w:asciiTheme="majorBidi" w:hAnsiTheme="majorBidi" w:cstheme="majorBidi"/>
          <w:color w:val="000000"/>
        </w:rPr>
        <w:t>talaq</w:t>
      </w:r>
      <w:proofErr w:type="spellEnd"/>
      <w:r w:rsidRPr="00791022">
        <w:rPr>
          <w:rFonts w:asciiTheme="majorBidi" w:hAnsiTheme="majorBidi" w:cstheme="majorBidi"/>
          <w:color w:val="000000"/>
        </w:rPr>
        <w:t xml:space="preserve">-e-Ahsan (ii) </w:t>
      </w:r>
      <w:proofErr w:type="spellStart"/>
      <w:r w:rsidRPr="00791022">
        <w:rPr>
          <w:rFonts w:asciiTheme="majorBidi" w:hAnsiTheme="majorBidi" w:cstheme="majorBidi"/>
          <w:color w:val="000000"/>
        </w:rPr>
        <w:t>talaq</w:t>
      </w:r>
      <w:proofErr w:type="spellEnd"/>
      <w:r w:rsidRPr="00791022">
        <w:rPr>
          <w:rFonts w:asciiTheme="majorBidi" w:hAnsiTheme="majorBidi" w:cstheme="majorBidi"/>
          <w:color w:val="000000"/>
        </w:rPr>
        <w:t xml:space="preserve">-e-Hassan and (iii) </w:t>
      </w:r>
      <w:proofErr w:type="spellStart"/>
      <w:r w:rsidRPr="00791022">
        <w:rPr>
          <w:rFonts w:asciiTheme="majorBidi" w:hAnsiTheme="majorBidi" w:cstheme="majorBidi"/>
          <w:color w:val="000000"/>
        </w:rPr>
        <w:t>Talaq</w:t>
      </w:r>
      <w:proofErr w:type="spellEnd"/>
      <w:r w:rsidRPr="00791022">
        <w:rPr>
          <w:rFonts w:asciiTheme="majorBidi" w:hAnsiTheme="majorBidi" w:cstheme="majorBidi"/>
          <w:color w:val="000000"/>
        </w:rPr>
        <w:t>-e-</w:t>
      </w:r>
      <w:proofErr w:type="spellStart"/>
      <w:r w:rsidRPr="00791022">
        <w:rPr>
          <w:rFonts w:asciiTheme="majorBidi" w:hAnsiTheme="majorBidi" w:cstheme="majorBidi"/>
          <w:color w:val="000000"/>
        </w:rPr>
        <w:t>biddat</w:t>
      </w:r>
      <w:proofErr w:type="spellEnd"/>
    </w:p>
    <w:p w:rsidR="00791022" w:rsidRPr="00791022" w:rsidRDefault="00791022" w:rsidP="00791022">
      <w:pPr>
        <w:numPr>
          <w:ilvl w:val="0"/>
          <w:numId w:val="5"/>
        </w:numPr>
        <w:spacing w:after="0" w:line="240" w:lineRule="auto"/>
        <w:jc w:val="both"/>
        <w:rPr>
          <w:rFonts w:asciiTheme="majorBidi" w:hAnsiTheme="majorBidi" w:cstheme="majorBidi"/>
          <w:color w:val="000000"/>
        </w:rPr>
      </w:pPr>
      <w:r w:rsidRPr="00791022">
        <w:rPr>
          <w:rFonts w:asciiTheme="majorBidi" w:hAnsiTheme="majorBidi" w:cstheme="majorBidi"/>
          <w:color w:val="000000"/>
        </w:rPr>
        <w:t xml:space="preserve">Will, Definition of will, definition of terms used in Islamic laws of will </w:t>
      </w:r>
      <w:proofErr w:type="spellStart"/>
      <w:r w:rsidRPr="00791022">
        <w:rPr>
          <w:rFonts w:asciiTheme="majorBidi" w:hAnsiTheme="majorBidi" w:cstheme="majorBidi"/>
          <w:color w:val="000000"/>
        </w:rPr>
        <w:t>i.e</w:t>
      </w:r>
      <w:proofErr w:type="spellEnd"/>
      <w:r w:rsidRPr="00791022">
        <w:rPr>
          <w:rFonts w:asciiTheme="majorBidi" w:hAnsiTheme="majorBidi" w:cstheme="majorBidi"/>
          <w:color w:val="000000"/>
        </w:rPr>
        <w:t xml:space="preserve"> Testator, Legatee, Executor. </w:t>
      </w:r>
      <w:r w:rsidRPr="00791022">
        <w:rPr>
          <w:rFonts w:asciiTheme="majorBidi" w:hAnsiTheme="majorBidi" w:cstheme="majorBidi"/>
        </w:rPr>
        <w:t>Persons capable of making will, kinds of will</w:t>
      </w:r>
      <w:r w:rsidRPr="00791022">
        <w:rPr>
          <w:rFonts w:asciiTheme="majorBidi" w:hAnsiTheme="majorBidi" w:cstheme="majorBidi"/>
          <w:color w:val="000000"/>
        </w:rPr>
        <w:t xml:space="preserve"> Requisites of valid will, Parties to will ,objects of will, subject matter of will ,Formalities to make a will ,Extent of testamentary powers, Revocation of will</w:t>
      </w:r>
      <w:r w:rsidRPr="00791022">
        <w:rPr>
          <w:rFonts w:asciiTheme="majorBidi" w:hAnsiTheme="majorBidi" w:cstheme="majorBidi"/>
        </w:rPr>
        <w:t xml:space="preserve"> .</w:t>
      </w:r>
    </w:p>
    <w:p w:rsidR="00791022" w:rsidRPr="00791022" w:rsidRDefault="00791022" w:rsidP="00791022">
      <w:pPr>
        <w:numPr>
          <w:ilvl w:val="0"/>
          <w:numId w:val="5"/>
        </w:numPr>
        <w:spacing w:after="0" w:line="240" w:lineRule="auto"/>
        <w:jc w:val="both"/>
        <w:rPr>
          <w:rFonts w:asciiTheme="majorBidi" w:hAnsiTheme="majorBidi" w:cstheme="majorBidi"/>
          <w:color w:val="000000"/>
        </w:rPr>
      </w:pPr>
      <w:r w:rsidRPr="00791022">
        <w:rPr>
          <w:rFonts w:asciiTheme="majorBidi" w:hAnsiTheme="majorBidi" w:cstheme="majorBidi"/>
        </w:rPr>
        <w:t>Nature and definition of Gift, Requisites of Gifts, Parties involved in gift transaction, subject matter of gift, form of gift, extent of gift, Formalities for making Gift, void gift, Persons Capable of Making Gifts, Revocation of gift.</w:t>
      </w:r>
    </w:p>
    <w:p w:rsidR="00791022" w:rsidRPr="00791022" w:rsidRDefault="00791022" w:rsidP="00791022">
      <w:pPr>
        <w:spacing w:after="0" w:line="240" w:lineRule="auto"/>
        <w:ind w:left="1800"/>
        <w:jc w:val="both"/>
        <w:rPr>
          <w:rFonts w:asciiTheme="majorBidi" w:hAnsiTheme="majorBidi" w:cstheme="majorBidi"/>
          <w:color w:val="000000"/>
        </w:rPr>
      </w:pPr>
    </w:p>
    <w:p w:rsidR="00791022" w:rsidRPr="00791022" w:rsidRDefault="00791022" w:rsidP="001269DC">
      <w:pPr>
        <w:pStyle w:val="BodyText"/>
        <w:ind w:left="1160" w:right="1162"/>
        <w:jc w:val="both"/>
        <w:rPr>
          <w:rFonts w:asciiTheme="majorBidi" w:hAnsiTheme="majorBidi" w:cstheme="majorBidi"/>
          <w:sz w:val="22"/>
          <w:szCs w:val="22"/>
        </w:rPr>
      </w:pPr>
    </w:p>
    <w:p w:rsidR="007C2195" w:rsidRPr="00791022" w:rsidRDefault="007C2195" w:rsidP="001269DC">
      <w:pPr>
        <w:pStyle w:val="BodyText"/>
        <w:rPr>
          <w:rFonts w:asciiTheme="majorBidi" w:hAnsiTheme="majorBidi" w:cstheme="majorBidi"/>
          <w:sz w:val="22"/>
          <w:szCs w:val="22"/>
        </w:rPr>
      </w:pPr>
    </w:p>
    <w:p w:rsidR="007C2195" w:rsidRPr="00791022" w:rsidRDefault="007C2195" w:rsidP="001269DC">
      <w:pPr>
        <w:pStyle w:val="Heading2"/>
        <w:rPr>
          <w:rFonts w:asciiTheme="majorBidi" w:hAnsiTheme="majorBidi" w:cstheme="majorBidi"/>
          <w:sz w:val="22"/>
          <w:szCs w:val="22"/>
        </w:rPr>
      </w:pPr>
      <w:r w:rsidRPr="00791022">
        <w:rPr>
          <w:rFonts w:asciiTheme="majorBidi" w:hAnsiTheme="majorBidi" w:cstheme="majorBidi"/>
          <w:sz w:val="22"/>
          <w:szCs w:val="22"/>
        </w:rPr>
        <w:t>Recommended Reading:</w:t>
      </w:r>
    </w:p>
    <w:p w:rsidR="007C2195" w:rsidRPr="00791022" w:rsidRDefault="007C2195" w:rsidP="001269DC">
      <w:pPr>
        <w:pStyle w:val="BodyText"/>
        <w:rPr>
          <w:rFonts w:asciiTheme="majorBidi" w:hAnsiTheme="majorBidi" w:cstheme="majorBidi"/>
          <w:b/>
          <w:sz w:val="22"/>
          <w:szCs w:val="22"/>
        </w:rPr>
      </w:pPr>
    </w:p>
    <w:p w:rsidR="007C2195" w:rsidRPr="00040F69" w:rsidRDefault="007C2195" w:rsidP="001269DC">
      <w:pPr>
        <w:pStyle w:val="ListParagraph"/>
        <w:numPr>
          <w:ilvl w:val="0"/>
          <w:numId w:val="2"/>
        </w:numPr>
        <w:tabs>
          <w:tab w:val="left" w:pos="2241"/>
        </w:tabs>
        <w:spacing w:line="242" w:lineRule="auto"/>
        <w:ind w:right="1157"/>
        <w:jc w:val="both"/>
        <w:rPr>
          <w:rFonts w:asciiTheme="majorBidi" w:hAnsiTheme="majorBidi" w:cstheme="majorBidi"/>
          <w:sz w:val="16"/>
          <w:szCs w:val="16"/>
        </w:rPr>
      </w:pPr>
      <w:r w:rsidRPr="00040F69">
        <w:rPr>
          <w:rFonts w:asciiTheme="majorBidi" w:hAnsiTheme="majorBidi" w:cstheme="majorBidi"/>
          <w:sz w:val="16"/>
          <w:szCs w:val="16"/>
        </w:rPr>
        <w:t xml:space="preserve">Ali, Syed Amir. </w:t>
      </w:r>
      <w:r w:rsidRPr="00040F69">
        <w:rPr>
          <w:rFonts w:asciiTheme="majorBidi" w:hAnsiTheme="majorBidi" w:cstheme="majorBidi"/>
          <w:i/>
          <w:sz w:val="16"/>
          <w:szCs w:val="16"/>
        </w:rPr>
        <w:t xml:space="preserve">Principles of Mohammedan Law, </w:t>
      </w:r>
      <w:r w:rsidRPr="00040F69">
        <w:rPr>
          <w:rFonts w:asciiTheme="majorBidi" w:hAnsiTheme="majorBidi" w:cstheme="majorBidi"/>
          <w:sz w:val="16"/>
          <w:szCs w:val="16"/>
        </w:rPr>
        <w:t>rev and enl.edn. Allahabad: Allahabad Law Emporium,</w:t>
      </w:r>
      <w:r w:rsidRPr="00040F69">
        <w:rPr>
          <w:rFonts w:asciiTheme="majorBidi" w:hAnsiTheme="majorBidi" w:cstheme="majorBidi"/>
          <w:spacing w:val="-10"/>
          <w:sz w:val="16"/>
          <w:szCs w:val="16"/>
        </w:rPr>
        <w:t xml:space="preserve"> </w:t>
      </w:r>
      <w:r w:rsidRPr="00040F69">
        <w:rPr>
          <w:rFonts w:asciiTheme="majorBidi" w:hAnsiTheme="majorBidi" w:cstheme="majorBidi"/>
          <w:sz w:val="16"/>
          <w:szCs w:val="16"/>
        </w:rPr>
        <w:t>1983.</w:t>
      </w:r>
    </w:p>
    <w:p w:rsidR="007C2195" w:rsidRPr="00040F69" w:rsidRDefault="007C2195" w:rsidP="001269DC">
      <w:pPr>
        <w:pStyle w:val="ListParagraph"/>
        <w:numPr>
          <w:ilvl w:val="0"/>
          <w:numId w:val="2"/>
        </w:numPr>
        <w:tabs>
          <w:tab w:val="left" w:pos="2241"/>
        </w:tabs>
        <w:ind w:right="1162"/>
        <w:jc w:val="both"/>
        <w:rPr>
          <w:rFonts w:asciiTheme="majorBidi" w:hAnsiTheme="majorBidi" w:cstheme="majorBidi"/>
          <w:sz w:val="16"/>
          <w:szCs w:val="16"/>
        </w:rPr>
      </w:pPr>
      <w:r w:rsidRPr="00040F69">
        <w:rPr>
          <w:rFonts w:asciiTheme="majorBidi" w:hAnsiTheme="majorBidi" w:cstheme="majorBidi"/>
          <w:sz w:val="16"/>
          <w:szCs w:val="16"/>
        </w:rPr>
        <w:t>An-</w:t>
      </w:r>
      <w:proofErr w:type="spellStart"/>
      <w:r w:rsidRPr="00040F69">
        <w:rPr>
          <w:rFonts w:asciiTheme="majorBidi" w:hAnsiTheme="majorBidi" w:cstheme="majorBidi"/>
          <w:sz w:val="16"/>
          <w:szCs w:val="16"/>
        </w:rPr>
        <w:t>Na’im</w:t>
      </w:r>
      <w:proofErr w:type="spellEnd"/>
      <w:r w:rsidRPr="00040F69">
        <w:rPr>
          <w:rFonts w:asciiTheme="majorBidi" w:hAnsiTheme="majorBidi" w:cstheme="majorBidi"/>
          <w:sz w:val="16"/>
          <w:szCs w:val="16"/>
        </w:rPr>
        <w:t xml:space="preserve">, </w:t>
      </w:r>
      <w:proofErr w:type="spellStart"/>
      <w:r w:rsidRPr="00040F69">
        <w:rPr>
          <w:rFonts w:asciiTheme="majorBidi" w:hAnsiTheme="majorBidi" w:cstheme="majorBidi"/>
          <w:sz w:val="16"/>
          <w:szCs w:val="16"/>
        </w:rPr>
        <w:t>Abdullahi</w:t>
      </w:r>
      <w:proofErr w:type="spellEnd"/>
      <w:r w:rsidRPr="00040F69">
        <w:rPr>
          <w:rFonts w:asciiTheme="majorBidi" w:hAnsiTheme="majorBidi" w:cstheme="majorBidi"/>
          <w:sz w:val="16"/>
          <w:szCs w:val="16"/>
        </w:rPr>
        <w:t xml:space="preserve"> A. </w:t>
      </w:r>
      <w:r w:rsidRPr="00040F69">
        <w:rPr>
          <w:rFonts w:asciiTheme="majorBidi" w:hAnsiTheme="majorBidi" w:cstheme="majorBidi"/>
          <w:i/>
          <w:sz w:val="16"/>
          <w:szCs w:val="16"/>
        </w:rPr>
        <w:t>Islamic Family Law in a Changing World</w:t>
      </w:r>
      <w:r w:rsidRPr="00040F69">
        <w:rPr>
          <w:rFonts w:asciiTheme="majorBidi" w:hAnsiTheme="majorBidi" w:cstheme="majorBidi"/>
          <w:sz w:val="16"/>
          <w:szCs w:val="16"/>
        </w:rPr>
        <w:t>. London: Zed Books,</w:t>
      </w:r>
      <w:r w:rsidRPr="00040F69">
        <w:rPr>
          <w:rFonts w:asciiTheme="majorBidi" w:hAnsiTheme="majorBidi" w:cstheme="majorBidi"/>
          <w:spacing w:val="-3"/>
          <w:sz w:val="16"/>
          <w:szCs w:val="16"/>
        </w:rPr>
        <w:t xml:space="preserve"> </w:t>
      </w:r>
      <w:r w:rsidRPr="00040F69">
        <w:rPr>
          <w:rFonts w:asciiTheme="majorBidi" w:hAnsiTheme="majorBidi" w:cstheme="majorBidi"/>
          <w:sz w:val="16"/>
          <w:szCs w:val="16"/>
        </w:rPr>
        <w:t>2002.</w:t>
      </w:r>
    </w:p>
    <w:p w:rsidR="007C2195" w:rsidRPr="00040F69" w:rsidRDefault="007C2195" w:rsidP="001269DC">
      <w:pPr>
        <w:pStyle w:val="ListParagraph"/>
        <w:numPr>
          <w:ilvl w:val="0"/>
          <w:numId w:val="2"/>
        </w:numPr>
        <w:tabs>
          <w:tab w:val="left" w:pos="2241"/>
        </w:tabs>
        <w:spacing w:line="242" w:lineRule="auto"/>
        <w:ind w:right="1160"/>
        <w:jc w:val="both"/>
        <w:rPr>
          <w:rFonts w:asciiTheme="majorBidi" w:hAnsiTheme="majorBidi" w:cstheme="majorBidi"/>
          <w:sz w:val="16"/>
          <w:szCs w:val="16"/>
        </w:rPr>
      </w:pPr>
      <w:proofErr w:type="spellStart"/>
      <w:r w:rsidRPr="00040F69">
        <w:rPr>
          <w:rFonts w:asciiTheme="majorBidi" w:hAnsiTheme="majorBidi" w:cstheme="majorBidi"/>
          <w:sz w:val="16"/>
          <w:szCs w:val="16"/>
        </w:rPr>
        <w:t>Fayzee</w:t>
      </w:r>
      <w:proofErr w:type="spellEnd"/>
      <w:r w:rsidRPr="00040F69">
        <w:rPr>
          <w:rFonts w:asciiTheme="majorBidi" w:hAnsiTheme="majorBidi" w:cstheme="majorBidi"/>
          <w:sz w:val="16"/>
          <w:szCs w:val="16"/>
        </w:rPr>
        <w:t xml:space="preserve">, AAA. </w:t>
      </w:r>
      <w:r w:rsidRPr="00040F69">
        <w:rPr>
          <w:rFonts w:asciiTheme="majorBidi" w:hAnsiTheme="majorBidi" w:cstheme="majorBidi"/>
          <w:i/>
          <w:sz w:val="16"/>
          <w:szCs w:val="16"/>
        </w:rPr>
        <w:t xml:space="preserve">Outlines of </w:t>
      </w:r>
      <w:proofErr w:type="spellStart"/>
      <w:r w:rsidRPr="00040F69">
        <w:rPr>
          <w:rFonts w:asciiTheme="majorBidi" w:hAnsiTheme="majorBidi" w:cstheme="majorBidi"/>
          <w:i/>
          <w:sz w:val="16"/>
          <w:szCs w:val="16"/>
        </w:rPr>
        <w:t>Mohammadan</w:t>
      </w:r>
      <w:proofErr w:type="spellEnd"/>
      <w:r w:rsidRPr="00040F69">
        <w:rPr>
          <w:rFonts w:asciiTheme="majorBidi" w:hAnsiTheme="majorBidi" w:cstheme="majorBidi"/>
          <w:i/>
          <w:sz w:val="16"/>
          <w:szCs w:val="16"/>
        </w:rPr>
        <w:t xml:space="preserve"> Law</w:t>
      </w:r>
      <w:r w:rsidRPr="00040F69">
        <w:rPr>
          <w:rFonts w:asciiTheme="majorBidi" w:hAnsiTheme="majorBidi" w:cstheme="majorBidi"/>
          <w:sz w:val="16"/>
          <w:szCs w:val="16"/>
        </w:rPr>
        <w:t>. Oxford: OUP, 1964.</w:t>
      </w:r>
    </w:p>
    <w:p w:rsidR="007C2195" w:rsidRPr="00040F69" w:rsidRDefault="007C2195" w:rsidP="001269DC">
      <w:pPr>
        <w:pStyle w:val="ListParagraph"/>
        <w:numPr>
          <w:ilvl w:val="0"/>
          <w:numId w:val="2"/>
        </w:numPr>
        <w:tabs>
          <w:tab w:val="left" w:pos="2241"/>
        </w:tabs>
        <w:spacing w:line="242" w:lineRule="auto"/>
        <w:ind w:right="1158"/>
        <w:jc w:val="both"/>
        <w:rPr>
          <w:rFonts w:asciiTheme="majorBidi" w:hAnsiTheme="majorBidi" w:cstheme="majorBidi"/>
          <w:sz w:val="16"/>
          <w:szCs w:val="16"/>
        </w:rPr>
      </w:pPr>
      <w:r w:rsidRPr="00040F69">
        <w:rPr>
          <w:rFonts w:asciiTheme="majorBidi" w:hAnsiTheme="majorBidi" w:cstheme="majorBidi"/>
          <w:sz w:val="16"/>
          <w:szCs w:val="16"/>
        </w:rPr>
        <w:t xml:space="preserve">Mahmood, Tahir. </w:t>
      </w:r>
      <w:proofErr w:type="spellStart"/>
      <w:r w:rsidRPr="00040F69">
        <w:rPr>
          <w:rFonts w:asciiTheme="majorBidi" w:hAnsiTheme="majorBidi" w:cstheme="majorBidi"/>
          <w:i/>
          <w:sz w:val="16"/>
          <w:szCs w:val="16"/>
        </w:rPr>
        <w:t>Asaf</w:t>
      </w:r>
      <w:proofErr w:type="spellEnd"/>
      <w:r w:rsidRPr="00040F69">
        <w:rPr>
          <w:rFonts w:asciiTheme="majorBidi" w:hAnsiTheme="majorBidi" w:cstheme="majorBidi"/>
          <w:i/>
          <w:sz w:val="16"/>
          <w:szCs w:val="16"/>
        </w:rPr>
        <w:t xml:space="preserve"> AA </w:t>
      </w:r>
      <w:proofErr w:type="spellStart"/>
      <w:r w:rsidRPr="00040F69">
        <w:rPr>
          <w:rFonts w:asciiTheme="majorBidi" w:hAnsiTheme="majorBidi" w:cstheme="majorBidi"/>
          <w:i/>
          <w:sz w:val="16"/>
          <w:szCs w:val="16"/>
        </w:rPr>
        <w:t>Fayzee</w:t>
      </w:r>
      <w:proofErr w:type="spellEnd"/>
      <w:r w:rsidRPr="00040F69">
        <w:rPr>
          <w:rFonts w:asciiTheme="majorBidi" w:hAnsiTheme="majorBidi" w:cstheme="majorBidi"/>
          <w:i/>
          <w:sz w:val="16"/>
          <w:szCs w:val="16"/>
        </w:rPr>
        <w:t>: Cases in the Muhammadan law of India, Pakistan and Bangladesh</w:t>
      </w:r>
      <w:r w:rsidRPr="00040F69">
        <w:rPr>
          <w:rFonts w:asciiTheme="majorBidi" w:hAnsiTheme="majorBidi" w:cstheme="majorBidi"/>
          <w:sz w:val="16"/>
          <w:szCs w:val="16"/>
        </w:rPr>
        <w:t>. Oxford: OUP,</w:t>
      </w:r>
      <w:r w:rsidRPr="00040F69">
        <w:rPr>
          <w:rFonts w:asciiTheme="majorBidi" w:hAnsiTheme="majorBidi" w:cstheme="majorBidi"/>
          <w:spacing w:val="-3"/>
          <w:sz w:val="16"/>
          <w:szCs w:val="16"/>
        </w:rPr>
        <w:t xml:space="preserve"> </w:t>
      </w:r>
      <w:r w:rsidRPr="00040F69">
        <w:rPr>
          <w:rFonts w:asciiTheme="majorBidi" w:hAnsiTheme="majorBidi" w:cstheme="majorBidi"/>
          <w:sz w:val="16"/>
          <w:szCs w:val="16"/>
        </w:rPr>
        <w:t>2005.</w:t>
      </w:r>
    </w:p>
    <w:p w:rsidR="007C2195" w:rsidRPr="00040F69" w:rsidRDefault="007C2195" w:rsidP="001269DC">
      <w:pPr>
        <w:pStyle w:val="ListParagraph"/>
        <w:numPr>
          <w:ilvl w:val="0"/>
          <w:numId w:val="2"/>
        </w:numPr>
        <w:tabs>
          <w:tab w:val="left" w:pos="2241"/>
        </w:tabs>
        <w:ind w:right="1158"/>
        <w:jc w:val="both"/>
        <w:rPr>
          <w:rFonts w:asciiTheme="majorBidi" w:hAnsiTheme="majorBidi" w:cstheme="majorBidi"/>
          <w:sz w:val="16"/>
          <w:szCs w:val="16"/>
        </w:rPr>
      </w:pPr>
      <w:r w:rsidRPr="00040F69">
        <w:rPr>
          <w:rFonts w:asciiTheme="majorBidi" w:hAnsiTheme="majorBidi" w:cstheme="majorBidi"/>
          <w:sz w:val="16"/>
          <w:szCs w:val="16"/>
        </w:rPr>
        <w:t xml:space="preserve">Mahmood, Tahir. </w:t>
      </w:r>
      <w:r w:rsidRPr="00040F69">
        <w:rPr>
          <w:rFonts w:asciiTheme="majorBidi" w:hAnsiTheme="majorBidi" w:cstheme="majorBidi"/>
          <w:i/>
          <w:sz w:val="16"/>
          <w:szCs w:val="16"/>
        </w:rPr>
        <w:t>Muslim Personal Law</w:t>
      </w:r>
      <w:r w:rsidRPr="00040F69">
        <w:rPr>
          <w:rFonts w:asciiTheme="majorBidi" w:hAnsiTheme="majorBidi" w:cstheme="majorBidi"/>
          <w:sz w:val="16"/>
          <w:szCs w:val="16"/>
        </w:rPr>
        <w:t xml:space="preserve">. New Delhi: </w:t>
      </w:r>
      <w:proofErr w:type="spellStart"/>
      <w:r w:rsidRPr="00040F69">
        <w:rPr>
          <w:rFonts w:asciiTheme="majorBidi" w:hAnsiTheme="majorBidi" w:cstheme="majorBidi"/>
          <w:sz w:val="16"/>
          <w:szCs w:val="16"/>
        </w:rPr>
        <w:t>Vikas</w:t>
      </w:r>
      <w:proofErr w:type="spellEnd"/>
      <w:r w:rsidRPr="00040F69">
        <w:rPr>
          <w:rFonts w:asciiTheme="majorBidi" w:hAnsiTheme="majorBidi" w:cstheme="majorBidi"/>
          <w:sz w:val="16"/>
          <w:szCs w:val="16"/>
        </w:rPr>
        <w:t>, 1977.</w:t>
      </w:r>
    </w:p>
    <w:p w:rsidR="007C2195" w:rsidRPr="00040F69" w:rsidRDefault="007C2195" w:rsidP="001269DC">
      <w:pPr>
        <w:pStyle w:val="ListParagraph"/>
        <w:numPr>
          <w:ilvl w:val="0"/>
          <w:numId w:val="2"/>
        </w:numPr>
        <w:tabs>
          <w:tab w:val="left" w:pos="2241"/>
        </w:tabs>
        <w:ind w:right="1160"/>
        <w:jc w:val="both"/>
        <w:rPr>
          <w:rFonts w:asciiTheme="majorBidi" w:hAnsiTheme="majorBidi" w:cstheme="majorBidi"/>
          <w:sz w:val="16"/>
          <w:szCs w:val="16"/>
        </w:rPr>
      </w:pPr>
      <w:proofErr w:type="spellStart"/>
      <w:r w:rsidRPr="00040F69">
        <w:rPr>
          <w:rFonts w:asciiTheme="majorBidi" w:hAnsiTheme="majorBidi" w:cstheme="majorBidi"/>
          <w:sz w:val="16"/>
          <w:szCs w:val="16"/>
        </w:rPr>
        <w:t>Mannan</w:t>
      </w:r>
      <w:proofErr w:type="spellEnd"/>
      <w:r w:rsidRPr="00040F69">
        <w:rPr>
          <w:rFonts w:asciiTheme="majorBidi" w:hAnsiTheme="majorBidi" w:cstheme="majorBidi"/>
          <w:sz w:val="16"/>
          <w:szCs w:val="16"/>
        </w:rPr>
        <w:t xml:space="preserve">, Dr. M.A. </w:t>
      </w:r>
      <w:r w:rsidRPr="00040F69">
        <w:rPr>
          <w:rFonts w:asciiTheme="majorBidi" w:hAnsiTheme="majorBidi" w:cstheme="majorBidi"/>
          <w:i/>
          <w:sz w:val="16"/>
          <w:szCs w:val="16"/>
        </w:rPr>
        <w:t xml:space="preserve">DF </w:t>
      </w:r>
      <w:proofErr w:type="spellStart"/>
      <w:r w:rsidRPr="00040F69">
        <w:rPr>
          <w:rFonts w:asciiTheme="majorBidi" w:hAnsiTheme="majorBidi" w:cstheme="majorBidi"/>
          <w:i/>
          <w:sz w:val="16"/>
          <w:szCs w:val="16"/>
        </w:rPr>
        <w:t>Mulla’s</w:t>
      </w:r>
      <w:proofErr w:type="spellEnd"/>
      <w:r w:rsidRPr="00040F69">
        <w:rPr>
          <w:rFonts w:asciiTheme="majorBidi" w:hAnsiTheme="majorBidi" w:cstheme="majorBidi"/>
          <w:i/>
          <w:sz w:val="16"/>
          <w:szCs w:val="16"/>
        </w:rPr>
        <w:t xml:space="preserve"> Principles of Mohammedan Law</w:t>
      </w:r>
      <w:r w:rsidRPr="00040F69">
        <w:rPr>
          <w:rFonts w:asciiTheme="majorBidi" w:hAnsiTheme="majorBidi" w:cstheme="majorBidi"/>
          <w:sz w:val="16"/>
          <w:szCs w:val="16"/>
        </w:rPr>
        <w:t>. Lahore: PLD</w:t>
      </w:r>
      <w:r w:rsidRPr="00040F69">
        <w:rPr>
          <w:rFonts w:asciiTheme="majorBidi" w:hAnsiTheme="majorBidi" w:cstheme="majorBidi"/>
          <w:spacing w:val="2"/>
          <w:sz w:val="16"/>
          <w:szCs w:val="16"/>
        </w:rPr>
        <w:t xml:space="preserve"> </w:t>
      </w:r>
      <w:r w:rsidRPr="00040F69">
        <w:rPr>
          <w:rFonts w:asciiTheme="majorBidi" w:hAnsiTheme="majorBidi" w:cstheme="majorBidi"/>
          <w:sz w:val="16"/>
          <w:szCs w:val="16"/>
        </w:rPr>
        <w:t>2010.</w:t>
      </w:r>
    </w:p>
    <w:p w:rsidR="007C2195" w:rsidRPr="00040F69" w:rsidRDefault="007C2195" w:rsidP="001269DC">
      <w:pPr>
        <w:pStyle w:val="ListParagraph"/>
        <w:numPr>
          <w:ilvl w:val="0"/>
          <w:numId w:val="2"/>
        </w:numPr>
        <w:tabs>
          <w:tab w:val="left" w:pos="2241"/>
        </w:tabs>
        <w:ind w:right="1157"/>
        <w:jc w:val="both"/>
        <w:rPr>
          <w:rFonts w:asciiTheme="majorBidi" w:hAnsiTheme="majorBidi" w:cstheme="majorBidi"/>
          <w:sz w:val="16"/>
          <w:szCs w:val="16"/>
        </w:rPr>
      </w:pPr>
      <w:proofErr w:type="spellStart"/>
      <w:r w:rsidRPr="00040F69">
        <w:rPr>
          <w:rFonts w:asciiTheme="majorBidi" w:hAnsiTheme="majorBidi" w:cstheme="majorBidi"/>
          <w:sz w:val="16"/>
          <w:szCs w:val="16"/>
        </w:rPr>
        <w:t>Mansoori</w:t>
      </w:r>
      <w:proofErr w:type="spellEnd"/>
      <w:r w:rsidRPr="00040F69">
        <w:rPr>
          <w:rFonts w:asciiTheme="majorBidi" w:hAnsiTheme="majorBidi" w:cstheme="majorBidi"/>
          <w:sz w:val="16"/>
          <w:szCs w:val="16"/>
        </w:rPr>
        <w:t>, Dr. Muhammad Tahir</w:t>
      </w:r>
      <w:r w:rsidRPr="00040F69">
        <w:rPr>
          <w:rFonts w:asciiTheme="majorBidi" w:hAnsiTheme="majorBidi" w:cstheme="majorBidi"/>
          <w:i/>
          <w:sz w:val="16"/>
          <w:szCs w:val="16"/>
        </w:rPr>
        <w:t>. Family Law in Islam: Theory and Application</w:t>
      </w:r>
      <w:r w:rsidRPr="00040F69">
        <w:rPr>
          <w:rFonts w:asciiTheme="majorBidi" w:hAnsiTheme="majorBidi" w:cstheme="majorBidi"/>
          <w:sz w:val="16"/>
          <w:szCs w:val="16"/>
        </w:rPr>
        <w:t xml:space="preserve">. Islamabad: </w:t>
      </w:r>
      <w:proofErr w:type="spellStart"/>
      <w:r w:rsidRPr="00040F69">
        <w:rPr>
          <w:rFonts w:asciiTheme="majorBidi" w:hAnsiTheme="majorBidi" w:cstheme="majorBidi"/>
          <w:sz w:val="16"/>
          <w:szCs w:val="16"/>
        </w:rPr>
        <w:t>Shariah</w:t>
      </w:r>
      <w:proofErr w:type="spellEnd"/>
      <w:r w:rsidRPr="00040F69">
        <w:rPr>
          <w:rFonts w:asciiTheme="majorBidi" w:hAnsiTheme="majorBidi" w:cstheme="majorBidi"/>
          <w:sz w:val="16"/>
          <w:szCs w:val="16"/>
        </w:rPr>
        <w:t xml:space="preserve"> Academy,</w:t>
      </w:r>
      <w:r w:rsidRPr="00040F69">
        <w:rPr>
          <w:rFonts w:asciiTheme="majorBidi" w:hAnsiTheme="majorBidi" w:cstheme="majorBidi"/>
          <w:spacing w:val="-18"/>
          <w:sz w:val="16"/>
          <w:szCs w:val="16"/>
        </w:rPr>
        <w:t xml:space="preserve"> </w:t>
      </w:r>
      <w:r w:rsidRPr="00040F69">
        <w:rPr>
          <w:rFonts w:asciiTheme="majorBidi" w:hAnsiTheme="majorBidi" w:cstheme="majorBidi"/>
          <w:sz w:val="16"/>
          <w:szCs w:val="16"/>
        </w:rPr>
        <w:t>2006.</w:t>
      </w:r>
    </w:p>
    <w:p w:rsidR="007C2195" w:rsidRPr="00040F69" w:rsidRDefault="007C2195" w:rsidP="001269DC">
      <w:pPr>
        <w:pStyle w:val="ListParagraph"/>
        <w:numPr>
          <w:ilvl w:val="0"/>
          <w:numId w:val="2"/>
        </w:numPr>
        <w:tabs>
          <w:tab w:val="left" w:pos="2241"/>
        </w:tabs>
        <w:spacing w:line="242" w:lineRule="auto"/>
        <w:ind w:right="1159"/>
        <w:jc w:val="both"/>
        <w:rPr>
          <w:rFonts w:asciiTheme="majorBidi" w:hAnsiTheme="majorBidi" w:cstheme="majorBidi"/>
          <w:sz w:val="16"/>
          <w:szCs w:val="16"/>
        </w:rPr>
      </w:pPr>
      <w:proofErr w:type="spellStart"/>
      <w:r w:rsidRPr="00040F69">
        <w:rPr>
          <w:rFonts w:asciiTheme="majorBidi" w:hAnsiTheme="majorBidi" w:cstheme="majorBidi"/>
          <w:sz w:val="16"/>
          <w:szCs w:val="16"/>
        </w:rPr>
        <w:t>Nizam</w:t>
      </w:r>
      <w:proofErr w:type="spellEnd"/>
      <w:r w:rsidRPr="00040F69">
        <w:rPr>
          <w:rFonts w:asciiTheme="majorBidi" w:hAnsiTheme="majorBidi" w:cstheme="majorBidi"/>
          <w:sz w:val="16"/>
          <w:szCs w:val="16"/>
        </w:rPr>
        <w:t xml:space="preserve">, Sheikh. (comp.) </w:t>
      </w:r>
      <w:proofErr w:type="spellStart"/>
      <w:r w:rsidRPr="00040F69">
        <w:rPr>
          <w:rFonts w:asciiTheme="majorBidi" w:hAnsiTheme="majorBidi" w:cstheme="majorBidi"/>
          <w:i/>
          <w:sz w:val="16"/>
          <w:szCs w:val="16"/>
        </w:rPr>
        <w:t>Fatawi</w:t>
      </w:r>
      <w:proofErr w:type="spellEnd"/>
      <w:r w:rsidRPr="00040F69">
        <w:rPr>
          <w:rFonts w:asciiTheme="majorBidi" w:hAnsiTheme="majorBidi" w:cstheme="majorBidi"/>
          <w:i/>
          <w:sz w:val="16"/>
          <w:szCs w:val="16"/>
        </w:rPr>
        <w:t xml:space="preserve"> </w:t>
      </w:r>
      <w:proofErr w:type="spellStart"/>
      <w:r w:rsidRPr="00040F69">
        <w:rPr>
          <w:rFonts w:asciiTheme="majorBidi" w:hAnsiTheme="majorBidi" w:cstheme="majorBidi"/>
          <w:i/>
          <w:sz w:val="16"/>
          <w:szCs w:val="16"/>
        </w:rPr>
        <w:t>Alamgiryat</w:t>
      </w:r>
      <w:proofErr w:type="spellEnd"/>
      <w:r w:rsidRPr="00040F69">
        <w:rPr>
          <w:rFonts w:asciiTheme="majorBidi" w:hAnsiTheme="majorBidi" w:cstheme="majorBidi"/>
          <w:sz w:val="16"/>
          <w:szCs w:val="16"/>
        </w:rPr>
        <w:t>. Calcutta: Education Press,</w:t>
      </w:r>
      <w:r w:rsidRPr="00040F69">
        <w:rPr>
          <w:rFonts w:asciiTheme="majorBidi" w:hAnsiTheme="majorBidi" w:cstheme="majorBidi"/>
          <w:spacing w:val="-3"/>
          <w:sz w:val="16"/>
          <w:szCs w:val="16"/>
        </w:rPr>
        <w:t xml:space="preserve"> </w:t>
      </w:r>
      <w:r w:rsidRPr="00040F69">
        <w:rPr>
          <w:rFonts w:asciiTheme="majorBidi" w:hAnsiTheme="majorBidi" w:cstheme="majorBidi"/>
          <w:sz w:val="16"/>
          <w:szCs w:val="16"/>
        </w:rPr>
        <w:t>1825-35.</w:t>
      </w:r>
    </w:p>
    <w:p w:rsidR="007C2195" w:rsidRPr="00040F69" w:rsidRDefault="007C2195" w:rsidP="001269DC">
      <w:pPr>
        <w:pStyle w:val="ListParagraph"/>
        <w:numPr>
          <w:ilvl w:val="0"/>
          <w:numId w:val="2"/>
        </w:numPr>
        <w:tabs>
          <w:tab w:val="left" w:pos="2241"/>
        </w:tabs>
        <w:ind w:right="1161"/>
        <w:jc w:val="both"/>
        <w:rPr>
          <w:rFonts w:asciiTheme="majorBidi" w:hAnsiTheme="majorBidi" w:cstheme="majorBidi"/>
          <w:sz w:val="16"/>
          <w:szCs w:val="16"/>
        </w:rPr>
      </w:pPr>
      <w:r w:rsidRPr="00040F69">
        <w:rPr>
          <w:rFonts w:asciiTheme="majorBidi" w:hAnsiTheme="majorBidi" w:cstheme="majorBidi"/>
          <w:sz w:val="16"/>
          <w:szCs w:val="16"/>
        </w:rPr>
        <w:t>Text of Guardians and Wards Act, 1890, CMRA, 1929, DMMA, 1939, MFLO, 1961, Family Court Act, 1964,</w:t>
      </w:r>
      <w:r w:rsidRPr="00040F69">
        <w:rPr>
          <w:rFonts w:asciiTheme="majorBidi" w:hAnsiTheme="majorBidi" w:cstheme="majorBidi"/>
          <w:spacing w:val="-8"/>
          <w:sz w:val="16"/>
          <w:szCs w:val="16"/>
        </w:rPr>
        <w:t xml:space="preserve"> </w:t>
      </w:r>
      <w:r w:rsidRPr="00040F69">
        <w:rPr>
          <w:rFonts w:asciiTheme="majorBidi" w:hAnsiTheme="majorBidi" w:cstheme="majorBidi"/>
          <w:sz w:val="16"/>
          <w:szCs w:val="16"/>
        </w:rPr>
        <w:t>etc.</w:t>
      </w:r>
    </w:p>
    <w:p w:rsidR="007C2195" w:rsidRPr="001269DC" w:rsidRDefault="007C2195" w:rsidP="001269DC">
      <w:pPr>
        <w:spacing w:after="0"/>
        <w:rPr>
          <w:rFonts w:asciiTheme="majorBidi" w:hAnsiTheme="majorBidi" w:cstheme="majorBidi"/>
        </w:rPr>
      </w:pPr>
    </w:p>
    <w:sectPr w:rsidR="007C2195" w:rsidRPr="001269DC" w:rsidSect="001269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661FC"/>
    <w:multiLevelType w:val="hybridMultilevel"/>
    <w:tmpl w:val="8D4E4D20"/>
    <w:lvl w:ilvl="0" w:tplc="2420671C">
      <w:start w:val="1"/>
      <w:numFmt w:val="decimal"/>
      <w:lvlText w:val="%1."/>
      <w:lvlJc w:val="left"/>
      <w:pPr>
        <w:ind w:left="2241" w:hanging="721"/>
        <w:jc w:val="left"/>
      </w:pPr>
      <w:rPr>
        <w:rFonts w:ascii="Arial" w:eastAsia="Arial" w:hAnsi="Arial" w:cs="Arial" w:hint="default"/>
        <w:spacing w:val="-1"/>
        <w:w w:val="99"/>
        <w:sz w:val="20"/>
        <w:szCs w:val="20"/>
        <w:lang w:val="en-US" w:eastAsia="en-US" w:bidi="en-US"/>
      </w:rPr>
    </w:lvl>
    <w:lvl w:ilvl="1" w:tplc="3B72D38A">
      <w:numFmt w:val="bullet"/>
      <w:lvlText w:val="•"/>
      <w:lvlJc w:val="left"/>
      <w:pPr>
        <w:ind w:left="2896" w:hanging="721"/>
      </w:pPr>
      <w:rPr>
        <w:rFonts w:hint="default"/>
        <w:lang w:val="en-US" w:eastAsia="en-US" w:bidi="en-US"/>
      </w:rPr>
    </w:lvl>
    <w:lvl w:ilvl="2" w:tplc="D834C71C">
      <w:numFmt w:val="bullet"/>
      <w:lvlText w:val="•"/>
      <w:lvlJc w:val="left"/>
      <w:pPr>
        <w:ind w:left="3552" w:hanging="721"/>
      </w:pPr>
      <w:rPr>
        <w:rFonts w:hint="default"/>
        <w:lang w:val="en-US" w:eastAsia="en-US" w:bidi="en-US"/>
      </w:rPr>
    </w:lvl>
    <w:lvl w:ilvl="3" w:tplc="2466E6DC">
      <w:numFmt w:val="bullet"/>
      <w:lvlText w:val="•"/>
      <w:lvlJc w:val="left"/>
      <w:pPr>
        <w:ind w:left="4208" w:hanging="721"/>
      </w:pPr>
      <w:rPr>
        <w:rFonts w:hint="default"/>
        <w:lang w:val="en-US" w:eastAsia="en-US" w:bidi="en-US"/>
      </w:rPr>
    </w:lvl>
    <w:lvl w:ilvl="4" w:tplc="0DEED958">
      <w:numFmt w:val="bullet"/>
      <w:lvlText w:val="•"/>
      <w:lvlJc w:val="left"/>
      <w:pPr>
        <w:ind w:left="4864" w:hanging="721"/>
      </w:pPr>
      <w:rPr>
        <w:rFonts w:hint="default"/>
        <w:lang w:val="en-US" w:eastAsia="en-US" w:bidi="en-US"/>
      </w:rPr>
    </w:lvl>
    <w:lvl w:ilvl="5" w:tplc="A2203D10">
      <w:numFmt w:val="bullet"/>
      <w:lvlText w:val="•"/>
      <w:lvlJc w:val="left"/>
      <w:pPr>
        <w:ind w:left="5520" w:hanging="721"/>
      </w:pPr>
      <w:rPr>
        <w:rFonts w:hint="default"/>
        <w:lang w:val="en-US" w:eastAsia="en-US" w:bidi="en-US"/>
      </w:rPr>
    </w:lvl>
    <w:lvl w:ilvl="6" w:tplc="E7041450">
      <w:numFmt w:val="bullet"/>
      <w:lvlText w:val="•"/>
      <w:lvlJc w:val="left"/>
      <w:pPr>
        <w:ind w:left="6176" w:hanging="721"/>
      </w:pPr>
      <w:rPr>
        <w:rFonts w:hint="default"/>
        <w:lang w:val="en-US" w:eastAsia="en-US" w:bidi="en-US"/>
      </w:rPr>
    </w:lvl>
    <w:lvl w:ilvl="7" w:tplc="B0A09BC2">
      <w:numFmt w:val="bullet"/>
      <w:lvlText w:val="•"/>
      <w:lvlJc w:val="left"/>
      <w:pPr>
        <w:ind w:left="6832" w:hanging="721"/>
      </w:pPr>
      <w:rPr>
        <w:rFonts w:hint="default"/>
        <w:lang w:val="en-US" w:eastAsia="en-US" w:bidi="en-US"/>
      </w:rPr>
    </w:lvl>
    <w:lvl w:ilvl="8" w:tplc="DBBAF2AC">
      <w:numFmt w:val="bullet"/>
      <w:lvlText w:val="•"/>
      <w:lvlJc w:val="left"/>
      <w:pPr>
        <w:ind w:left="7488" w:hanging="721"/>
      </w:pPr>
      <w:rPr>
        <w:rFonts w:hint="default"/>
        <w:lang w:val="en-US" w:eastAsia="en-US" w:bidi="en-US"/>
      </w:rPr>
    </w:lvl>
  </w:abstractNum>
  <w:abstractNum w:abstractNumId="1" w15:restartNumberingAfterBreak="0">
    <w:nsid w:val="1EDD3BAB"/>
    <w:multiLevelType w:val="hybridMultilevel"/>
    <w:tmpl w:val="F460C6E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3429AC"/>
    <w:multiLevelType w:val="hybridMultilevel"/>
    <w:tmpl w:val="B29A3EA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5600D0"/>
    <w:multiLevelType w:val="hybridMultilevel"/>
    <w:tmpl w:val="AB0EA98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687405D4"/>
    <w:multiLevelType w:val="hybridMultilevel"/>
    <w:tmpl w:val="697085E8"/>
    <w:lvl w:ilvl="0" w:tplc="79682E60">
      <w:start w:val="1"/>
      <w:numFmt w:val="decimal"/>
      <w:lvlText w:val="%1."/>
      <w:lvlJc w:val="left"/>
      <w:pPr>
        <w:ind w:left="1880" w:hanging="360"/>
      </w:pPr>
      <w:rPr>
        <w:rFonts w:ascii="Arial" w:eastAsia="Arial" w:hAnsi="Arial" w:cs="Arial" w:hint="default"/>
        <w:spacing w:val="-1"/>
        <w:w w:val="99"/>
        <w:sz w:val="20"/>
        <w:szCs w:val="20"/>
        <w:lang w:val="en-US" w:eastAsia="en-US" w:bidi="en-US"/>
      </w:rPr>
    </w:lvl>
    <w:lvl w:ilvl="1" w:tplc="A064B89C">
      <w:start w:val="1"/>
      <w:numFmt w:val="decimal"/>
      <w:lvlText w:val="%2."/>
      <w:lvlJc w:val="left"/>
      <w:pPr>
        <w:ind w:left="1940" w:hanging="360"/>
      </w:pPr>
      <w:rPr>
        <w:rFonts w:ascii="Arial" w:eastAsia="Arial" w:hAnsi="Arial" w:cs="Arial" w:hint="default"/>
        <w:spacing w:val="-1"/>
        <w:w w:val="99"/>
        <w:sz w:val="20"/>
        <w:szCs w:val="20"/>
        <w:lang w:val="en-US" w:eastAsia="en-US" w:bidi="en-US"/>
      </w:rPr>
    </w:lvl>
    <w:lvl w:ilvl="2" w:tplc="CC22D1A0">
      <w:numFmt w:val="bullet"/>
      <w:lvlText w:val="•"/>
      <w:lvlJc w:val="left"/>
      <w:pPr>
        <w:ind w:left="2702" w:hanging="360"/>
      </w:pPr>
      <w:rPr>
        <w:rFonts w:hint="default"/>
        <w:lang w:val="en-US" w:eastAsia="en-US" w:bidi="en-US"/>
      </w:rPr>
    </w:lvl>
    <w:lvl w:ilvl="3" w:tplc="621C2458">
      <w:numFmt w:val="bullet"/>
      <w:lvlText w:val="•"/>
      <w:lvlJc w:val="left"/>
      <w:pPr>
        <w:ind w:left="3464" w:hanging="360"/>
      </w:pPr>
      <w:rPr>
        <w:rFonts w:hint="default"/>
        <w:lang w:val="en-US" w:eastAsia="en-US" w:bidi="en-US"/>
      </w:rPr>
    </w:lvl>
    <w:lvl w:ilvl="4" w:tplc="B346FE74">
      <w:numFmt w:val="bullet"/>
      <w:lvlText w:val="•"/>
      <w:lvlJc w:val="left"/>
      <w:pPr>
        <w:ind w:left="4226" w:hanging="360"/>
      </w:pPr>
      <w:rPr>
        <w:rFonts w:hint="default"/>
        <w:lang w:val="en-US" w:eastAsia="en-US" w:bidi="en-US"/>
      </w:rPr>
    </w:lvl>
    <w:lvl w:ilvl="5" w:tplc="326A58F0">
      <w:numFmt w:val="bullet"/>
      <w:lvlText w:val="•"/>
      <w:lvlJc w:val="left"/>
      <w:pPr>
        <w:ind w:left="4988" w:hanging="360"/>
      </w:pPr>
      <w:rPr>
        <w:rFonts w:hint="default"/>
        <w:lang w:val="en-US" w:eastAsia="en-US" w:bidi="en-US"/>
      </w:rPr>
    </w:lvl>
    <w:lvl w:ilvl="6" w:tplc="5DDACC7E">
      <w:numFmt w:val="bullet"/>
      <w:lvlText w:val="•"/>
      <w:lvlJc w:val="left"/>
      <w:pPr>
        <w:ind w:left="5751" w:hanging="360"/>
      </w:pPr>
      <w:rPr>
        <w:rFonts w:hint="default"/>
        <w:lang w:val="en-US" w:eastAsia="en-US" w:bidi="en-US"/>
      </w:rPr>
    </w:lvl>
    <w:lvl w:ilvl="7" w:tplc="94B8003A">
      <w:numFmt w:val="bullet"/>
      <w:lvlText w:val="•"/>
      <w:lvlJc w:val="left"/>
      <w:pPr>
        <w:ind w:left="6513" w:hanging="360"/>
      </w:pPr>
      <w:rPr>
        <w:rFonts w:hint="default"/>
        <w:lang w:val="en-US" w:eastAsia="en-US" w:bidi="en-US"/>
      </w:rPr>
    </w:lvl>
    <w:lvl w:ilvl="8" w:tplc="308E217C">
      <w:numFmt w:val="bullet"/>
      <w:lvlText w:val="•"/>
      <w:lvlJc w:val="left"/>
      <w:pPr>
        <w:ind w:left="7275" w:hanging="360"/>
      </w:pPr>
      <w:rPr>
        <w:rFonts w:hint="default"/>
        <w:lang w:val="en-US" w:eastAsia="en-US" w:bidi="en-US"/>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76445B"/>
    <w:rsid w:val="00040F69"/>
    <w:rsid w:val="001269DC"/>
    <w:rsid w:val="004D154B"/>
    <w:rsid w:val="0076445B"/>
    <w:rsid w:val="00791022"/>
    <w:rsid w:val="007C2195"/>
    <w:rsid w:val="009761B6"/>
    <w:rsid w:val="009A2D0D"/>
    <w:rsid w:val="00B90A3F"/>
    <w:rsid w:val="00DC39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C26B3-A1CC-497D-9A75-D7D918A0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54B"/>
  </w:style>
  <w:style w:type="paragraph" w:styleId="Heading1">
    <w:name w:val="heading 1"/>
    <w:basedOn w:val="Normal"/>
    <w:next w:val="Normal"/>
    <w:link w:val="Heading1Char"/>
    <w:uiPriority w:val="9"/>
    <w:qFormat/>
    <w:rsid w:val="00040F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6445B"/>
    <w:pPr>
      <w:widowControl w:val="0"/>
      <w:autoSpaceDE w:val="0"/>
      <w:autoSpaceDN w:val="0"/>
      <w:spacing w:after="0" w:line="240" w:lineRule="auto"/>
      <w:ind w:left="1160"/>
      <w:outlineLvl w:val="1"/>
    </w:pPr>
    <w:rPr>
      <w:rFonts w:ascii="Arial" w:eastAsia="Arial" w:hAnsi="Arial" w:cs="Arial"/>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6445B"/>
    <w:rPr>
      <w:rFonts w:ascii="Arial" w:eastAsia="Arial" w:hAnsi="Arial" w:cs="Arial"/>
      <w:b/>
      <w:bCs/>
      <w:sz w:val="20"/>
      <w:szCs w:val="20"/>
      <w:lang w:bidi="en-US"/>
    </w:rPr>
  </w:style>
  <w:style w:type="paragraph" w:styleId="BodyText">
    <w:name w:val="Body Text"/>
    <w:basedOn w:val="Normal"/>
    <w:link w:val="BodyTextChar"/>
    <w:uiPriority w:val="1"/>
    <w:qFormat/>
    <w:rsid w:val="0076445B"/>
    <w:pPr>
      <w:widowControl w:val="0"/>
      <w:autoSpaceDE w:val="0"/>
      <w:autoSpaceDN w:val="0"/>
      <w:spacing w:after="0" w:line="240" w:lineRule="auto"/>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76445B"/>
    <w:rPr>
      <w:rFonts w:ascii="Arial" w:eastAsia="Arial" w:hAnsi="Arial" w:cs="Arial"/>
      <w:sz w:val="20"/>
      <w:szCs w:val="20"/>
      <w:lang w:bidi="en-US"/>
    </w:rPr>
  </w:style>
  <w:style w:type="paragraph" w:styleId="ListParagraph">
    <w:name w:val="List Paragraph"/>
    <w:basedOn w:val="Normal"/>
    <w:uiPriority w:val="1"/>
    <w:qFormat/>
    <w:rsid w:val="0076445B"/>
    <w:pPr>
      <w:widowControl w:val="0"/>
      <w:autoSpaceDE w:val="0"/>
      <w:autoSpaceDN w:val="0"/>
      <w:spacing w:after="0" w:line="240" w:lineRule="auto"/>
      <w:ind w:left="1880" w:hanging="360"/>
    </w:pPr>
    <w:rPr>
      <w:rFonts w:ascii="Arial" w:eastAsia="Arial" w:hAnsi="Arial" w:cs="Arial"/>
      <w:lang w:bidi="en-US"/>
    </w:rPr>
  </w:style>
  <w:style w:type="character" w:customStyle="1" w:styleId="Heading1Char">
    <w:name w:val="Heading 1 Char"/>
    <w:basedOn w:val="DefaultParagraphFont"/>
    <w:link w:val="Heading1"/>
    <w:uiPriority w:val="9"/>
    <w:rsid w:val="00040F6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 Dir</dc:creator>
  <cp:keywords/>
  <dc:description/>
  <cp:lastModifiedBy>Intikhab</cp:lastModifiedBy>
  <cp:revision>17</cp:revision>
  <cp:lastPrinted>2018-06-05T07:36:00Z</cp:lastPrinted>
  <dcterms:created xsi:type="dcterms:W3CDTF">2018-06-05T07:19:00Z</dcterms:created>
  <dcterms:modified xsi:type="dcterms:W3CDTF">2018-10-24T13:55:00Z</dcterms:modified>
</cp:coreProperties>
</file>